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540EC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«Любанский сельскохозяйственный профессиональный лицей»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ведущего учреждения 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профессионально-технического образования 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научно-методической деятельности «Научно-методическое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профессионального-технического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квалификации «Штукатур» за 2017 – 2021 годы</w:t>
      </w: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DDD" w:rsidRDefault="00A90DDD" w:rsidP="00A90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Любань, 2021</w:t>
      </w:r>
    </w:p>
    <w:p w:rsidR="00A90DDD" w:rsidRDefault="00A90DDD" w:rsidP="0066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Государственное учреждение образования «Любанский сельскохозяйственный профессиональный лицей» в период</w:t>
      </w:r>
      <w:r w:rsidR="00463977">
        <w:rPr>
          <w:rFonts w:ascii="Times New Roman" w:hAnsi="Times New Roman" w:cs="Times New Roman"/>
          <w:sz w:val="28"/>
          <w:szCs w:val="28"/>
        </w:rPr>
        <w:t xml:space="preserve"> с 2017 по 2021 год являлось в статусе веду</w:t>
      </w:r>
      <w:r w:rsidR="00663E87">
        <w:rPr>
          <w:rFonts w:ascii="Times New Roman" w:hAnsi="Times New Roman" w:cs="Times New Roman"/>
          <w:sz w:val="28"/>
          <w:szCs w:val="28"/>
        </w:rPr>
        <w:t xml:space="preserve">щего (по методической работе) в Минской области по направлению научно-методической деятельности «Научно-методическое обеспечение </w:t>
      </w:r>
      <w:proofErr w:type="gramStart"/>
      <w:r w:rsidR="00663E87">
        <w:rPr>
          <w:rFonts w:ascii="Times New Roman" w:hAnsi="Times New Roman" w:cs="Times New Roman"/>
          <w:sz w:val="28"/>
          <w:szCs w:val="28"/>
        </w:rPr>
        <w:t>профессионального-технического</w:t>
      </w:r>
      <w:proofErr w:type="gramEnd"/>
      <w:r w:rsidR="00663E87">
        <w:rPr>
          <w:rFonts w:ascii="Times New Roman" w:hAnsi="Times New Roman" w:cs="Times New Roman"/>
          <w:sz w:val="28"/>
          <w:szCs w:val="28"/>
        </w:rPr>
        <w:t xml:space="preserve"> образования по квалификации «Штукатур».</w:t>
      </w:r>
    </w:p>
    <w:p w:rsidR="00663E87" w:rsidRDefault="00663E87" w:rsidP="0066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деятельности педагогического коллектива: разработка и апробация научно-методического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профессионального-технического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по квалификации «Штукатур».</w:t>
      </w:r>
    </w:p>
    <w:p w:rsidR="004B17B0" w:rsidRDefault="00663E87" w:rsidP="0066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7B0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986268" w:rsidRPr="00640005" w:rsidRDefault="00663E87" w:rsidP="00640005">
      <w:pPr>
        <w:pStyle w:val="a5"/>
        <w:shd w:val="clear" w:color="auto" w:fill="auto"/>
        <w:spacing w:line="276" w:lineRule="auto"/>
        <w:ind w:left="40" w:firstLine="669"/>
        <w:jc w:val="both"/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986268" w:rsidRPr="00640005">
        <w:rPr>
          <w:rFonts w:cs="Times New Roman"/>
          <w:b w:val="0"/>
          <w:color w:val="000000"/>
          <w:spacing w:val="6"/>
          <w:sz w:val="28"/>
          <w:szCs w:val="28"/>
          <w:lang w:eastAsia="ru-RU"/>
        </w:rPr>
        <w:t>обеспечить необходимое учебно-методическое и материально-техническое сопровождение при подготовке конкурентоспособного рабочего по квалификации «Штукатур»;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изучить и проанализировать состояние научно-методического обеспечения квалификации «Штукатур»;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для проявления и развития способностей, потенциала каждого участника образовательного процесса;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tabs>
          <w:tab w:val="left" w:pos="71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сп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роектирова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внедр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обучения при преподавании учебных предметов профессионального компонента по квалификации 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Штукатур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tabs>
          <w:tab w:val="left" w:pos="71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активны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обучения при проведении уроков по учебным предметам профессионального компонента;</w:t>
      </w:r>
    </w:p>
    <w:p w:rsidR="00986268" w:rsidRDefault="00986268" w:rsidP="00986268">
      <w:pPr>
        <w:pStyle w:val="a3"/>
        <w:widowControl w:val="0"/>
        <w:numPr>
          <w:ilvl w:val="0"/>
          <w:numId w:val="2"/>
        </w:numPr>
        <w:tabs>
          <w:tab w:val="left" w:pos="71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ва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учащихся;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tabs>
          <w:tab w:val="left" w:pos="71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создать условия для формирования и развития ключевых компетенций будущих рабочих;</w:t>
      </w:r>
    </w:p>
    <w:p w:rsidR="00986268" w:rsidRPr="00D53484" w:rsidRDefault="00986268" w:rsidP="00986268">
      <w:pPr>
        <w:pStyle w:val="a3"/>
        <w:widowControl w:val="0"/>
        <w:numPr>
          <w:ilvl w:val="0"/>
          <w:numId w:val="2"/>
        </w:numPr>
        <w:tabs>
          <w:tab w:val="left" w:pos="71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создать условия для п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рактическ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ой реализации 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знаний, умений и навыков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учащихся 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 квалификации 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Штукатур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»;</w:t>
      </w:r>
    </w:p>
    <w:p w:rsidR="00986268" w:rsidRPr="00D53484" w:rsidRDefault="00986268" w:rsidP="004B17B0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стабильн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ый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рост качества образования и </w:t>
      </w:r>
      <w:r w:rsidR="004B17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рофессионализма педагогических работников;</w:t>
      </w:r>
    </w:p>
    <w:p w:rsidR="00986268" w:rsidRDefault="00986268" w:rsidP="009862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- п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ить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D534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получения образовательных услуг в учреждении образования в соответствии с запросами личности, общества и государства.</w:t>
      </w:r>
      <w:r w:rsidRPr="00CE6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3450" w:rsidRDefault="005848F5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в лицее была создана творческая группа педагогических работников (приказ №</w:t>
      </w:r>
      <w:r w:rsidR="003E33DC">
        <w:rPr>
          <w:rFonts w:ascii="Times New Roman" w:hAnsi="Times New Roman" w:cs="Times New Roman"/>
          <w:sz w:val="28"/>
          <w:szCs w:val="28"/>
        </w:rPr>
        <w:t xml:space="preserve"> 257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33DC">
        <w:rPr>
          <w:rFonts w:ascii="Times New Roman" w:hAnsi="Times New Roman" w:cs="Times New Roman"/>
          <w:sz w:val="28"/>
          <w:szCs w:val="28"/>
        </w:rPr>
        <w:t>01.09.2017 года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53450">
        <w:rPr>
          <w:rFonts w:ascii="Times New Roman" w:hAnsi="Times New Roman" w:cs="Times New Roman"/>
          <w:sz w:val="28"/>
          <w:szCs w:val="28"/>
        </w:rPr>
        <w:t>Проведена диагностика профессиональной компетенции преподавателей, мастеров производственного обучения, провер</w:t>
      </w:r>
      <w:r w:rsidR="00E63EDE">
        <w:rPr>
          <w:rFonts w:ascii="Times New Roman" w:hAnsi="Times New Roman" w:cs="Times New Roman"/>
          <w:sz w:val="28"/>
          <w:szCs w:val="28"/>
        </w:rPr>
        <w:t>е</w:t>
      </w:r>
      <w:r w:rsidR="00B53450">
        <w:rPr>
          <w:rFonts w:ascii="Times New Roman" w:hAnsi="Times New Roman" w:cs="Times New Roman"/>
          <w:sz w:val="28"/>
          <w:szCs w:val="28"/>
        </w:rPr>
        <w:t>на их готовность к деятельности по разработке научно-методического обеспечения.</w:t>
      </w:r>
    </w:p>
    <w:p w:rsidR="00B53450" w:rsidRDefault="00B53450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3E2680" wp14:editId="7B57E339">
            <wp:extent cx="4484915" cy="21336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450" w:rsidRDefault="00B53450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450" w:rsidRDefault="00B53450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9CAD64" wp14:editId="0DB4AB93">
            <wp:extent cx="4486275" cy="18859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48F5" w:rsidRDefault="005848F5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творческой группы входили преподаватели специальных учебных предметов, мастера производственного обучения, методист</w:t>
      </w:r>
      <w:r w:rsidR="00A671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8F5" w:rsidRDefault="005848F5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Кастюковец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Ивановна, преподаватель первой квалификационной категории;</w:t>
      </w:r>
    </w:p>
    <w:p w:rsidR="005848F5" w:rsidRDefault="005848F5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Валерьевич, преподаватель первой квалификационной категории;</w:t>
      </w:r>
    </w:p>
    <w:p w:rsidR="005848F5" w:rsidRDefault="00B86C40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Шевчик Дмитрий Алексеевич, мастер производственного обучения, без квалификационной категории;</w:t>
      </w:r>
    </w:p>
    <w:p w:rsidR="00B86C40" w:rsidRDefault="00B86C40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Надежда Ивановна, мастер производственного обучения первой квалификационной категории;</w:t>
      </w:r>
    </w:p>
    <w:p w:rsidR="00B86C40" w:rsidRDefault="00B86C40" w:rsidP="00B86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Михайловна, производственного обучения первой квалификационной категории;</w:t>
      </w:r>
    </w:p>
    <w:p w:rsidR="00B86C40" w:rsidRDefault="00B86C40" w:rsidP="00B86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Валентиновна, методист </w:t>
      </w:r>
      <w:r w:rsidR="00E63EDE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B86C40" w:rsidRDefault="00B86C40" w:rsidP="00B86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Надежда Юрьевна, методист первой квалификационной категории.</w:t>
      </w:r>
    </w:p>
    <w:p w:rsidR="002822C8" w:rsidRDefault="002822C8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квалификации, совершенствования и развития профессиональных компетенций творческого потенциала мастеров производственного обучения и преподавателей по специальности «Штукатур»</w:t>
      </w:r>
      <w:r w:rsidR="00E63EDE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2C8" w:rsidRDefault="002822C8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индивидуальные консультации для педагогических работников по разработке и корректировке учебно-программной документации;</w:t>
      </w:r>
    </w:p>
    <w:p w:rsidR="002822C8" w:rsidRDefault="002822C8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заседание творческой группы «Приоритетные направления в разработке учебно-методических комплексов на основе внедрения современных  технологий»;</w:t>
      </w:r>
    </w:p>
    <w:p w:rsidR="002822C8" w:rsidRDefault="002822C8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мастера производственного обучения и преподаватели </w:t>
      </w:r>
      <w:r w:rsidR="006B18EF">
        <w:rPr>
          <w:rFonts w:ascii="Times New Roman" w:hAnsi="Times New Roman" w:cs="Times New Roman"/>
          <w:sz w:val="28"/>
          <w:szCs w:val="28"/>
        </w:rPr>
        <w:t xml:space="preserve">повышали </w:t>
      </w:r>
      <w:proofErr w:type="spellStart"/>
      <w:r w:rsidR="006B18EF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6B18EF">
        <w:rPr>
          <w:rFonts w:ascii="Times New Roman" w:hAnsi="Times New Roman" w:cs="Times New Roman"/>
          <w:sz w:val="28"/>
          <w:szCs w:val="28"/>
        </w:rPr>
        <w:t xml:space="preserve"> уровень (1 преподаватель, 1 мастер производственного обучения – со второй на первую квалификационную категорию);</w:t>
      </w:r>
    </w:p>
    <w:p w:rsidR="00E63EDE" w:rsidRDefault="00D430A2" w:rsidP="00D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429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438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8EF" w:rsidRDefault="006B18EF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мастера производственного обучения прошли стажировку по профилю профессиональной подготовки.</w:t>
      </w:r>
    </w:p>
    <w:p w:rsidR="00B86C40" w:rsidRDefault="006B18EF" w:rsidP="00584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6C40">
        <w:rPr>
          <w:rFonts w:ascii="Times New Roman" w:hAnsi="Times New Roman" w:cs="Times New Roman"/>
          <w:sz w:val="28"/>
          <w:szCs w:val="28"/>
        </w:rPr>
        <w:t>частниками творческой группы был проведен анализ предметной, научной и методической литературы по проблемам разработки содержания профессионального образования, учебно-программной документации.</w:t>
      </w:r>
    </w:p>
    <w:p w:rsidR="00986268" w:rsidRDefault="00F76030" w:rsidP="009862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типовой учебно-производственной документации преподавателями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Кастюковец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Тараховичем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А.В., мастерами производственного обучения Гончаровой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Ельницкой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Т.М., Шевчиком Д.А. разрабатывались учебные программы по учебным предметам профессионального компонента учебного плана, утвержденные главным управлением по образованию Минского областного исполнительного комитета.</w:t>
      </w:r>
    </w:p>
    <w:p w:rsidR="00986268" w:rsidRDefault="00DD2A25" w:rsidP="00986268">
      <w:pPr>
        <w:shd w:val="clear" w:color="auto" w:fill="FFFFFF"/>
        <w:spacing w:before="7" w:after="0"/>
        <w:ind w:right="7" w:firstLine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практическом этапе </w:t>
      </w:r>
      <w:r w:rsidR="00640005">
        <w:rPr>
          <w:rFonts w:ascii="Times New Roman" w:hAnsi="Times New Roman" w:cs="Times New Roman"/>
          <w:sz w:val="28"/>
          <w:szCs w:val="28"/>
        </w:rPr>
        <w:t>реализации поставленных задач творческой группой педагогов разработано научно-методическое обеспечение по квалификации «Штукатур»:</w:t>
      </w:r>
    </w:p>
    <w:p w:rsidR="00DD2A25" w:rsidRPr="00A67175" w:rsidRDefault="00A67175" w:rsidP="00A67175">
      <w:pPr>
        <w:pStyle w:val="a3"/>
        <w:numPr>
          <w:ilvl w:val="0"/>
          <w:numId w:val="6"/>
        </w:numPr>
        <w:shd w:val="clear" w:color="auto" w:fill="FFFFFF"/>
        <w:spacing w:before="7" w:after="0"/>
        <w:ind w:left="0"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986268" w:rsidRPr="00A67175">
        <w:rPr>
          <w:rFonts w:ascii="Times New Roman" w:eastAsia="Calibri" w:hAnsi="Times New Roman" w:cs="Times New Roman"/>
          <w:sz w:val="28"/>
          <w:szCs w:val="28"/>
        </w:rPr>
        <w:t>чебно-методически</w:t>
      </w:r>
      <w:r w:rsidR="00640005" w:rsidRPr="00A67175">
        <w:rPr>
          <w:rFonts w:ascii="Times New Roman" w:eastAsia="Calibri" w:hAnsi="Times New Roman" w:cs="Times New Roman"/>
          <w:sz w:val="28"/>
          <w:szCs w:val="28"/>
        </w:rPr>
        <w:t>е</w:t>
      </w:r>
      <w:r w:rsidR="00986268" w:rsidRPr="00A67175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4B17B0" w:rsidRPr="00A67175">
        <w:rPr>
          <w:rFonts w:ascii="Times New Roman" w:eastAsia="Calibri" w:hAnsi="Times New Roman" w:cs="Times New Roman"/>
          <w:sz w:val="28"/>
          <w:szCs w:val="28"/>
        </w:rPr>
        <w:t>ы</w:t>
      </w:r>
      <w:r w:rsidR="00986268" w:rsidRPr="00A67175">
        <w:rPr>
          <w:rFonts w:ascii="Times New Roman" w:eastAsia="Calibri" w:hAnsi="Times New Roman" w:cs="Times New Roman"/>
          <w:sz w:val="28"/>
          <w:szCs w:val="28"/>
        </w:rPr>
        <w:t xml:space="preserve"> по учебн</w:t>
      </w:r>
      <w:r w:rsidR="00036056" w:rsidRPr="00A67175">
        <w:rPr>
          <w:rFonts w:ascii="Times New Roman" w:eastAsia="Calibri" w:hAnsi="Times New Roman" w:cs="Times New Roman"/>
          <w:sz w:val="28"/>
          <w:szCs w:val="28"/>
        </w:rPr>
        <w:t>ому</w:t>
      </w:r>
      <w:r w:rsidR="00640005" w:rsidRPr="00A67175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036056" w:rsidRPr="00A67175">
        <w:rPr>
          <w:rFonts w:ascii="Times New Roman" w:eastAsia="Calibri" w:hAnsi="Times New Roman" w:cs="Times New Roman"/>
          <w:sz w:val="28"/>
          <w:szCs w:val="28"/>
        </w:rPr>
        <w:t>у</w:t>
      </w:r>
      <w:r w:rsidR="00DD2A25" w:rsidRPr="00A67175">
        <w:rPr>
          <w:rFonts w:ascii="Times New Roman" w:eastAsia="Calibri" w:hAnsi="Times New Roman" w:cs="Times New Roman"/>
          <w:sz w:val="28"/>
          <w:szCs w:val="28"/>
        </w:rPr>
        <w:t xml:space="preserve"> «Специальная технология»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«Вытягивание тяг и устройство падуг»;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«Технология оштукатуривания оконных и дверных откосов»;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«Основные сведения о частях зданий и производстве строительных работ»;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«Подготовка поверхностей под оштукатуривание»;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«Инвентарь, инструменты и приспособления для штукатурных работ»;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«Технология оштукатуривания колонн, ниш»;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«Технология облицовки поверхностей крупноразмерными листами сухой штукатурки»;</w:t>
      </w:r>
    </w:p>
    <w:p w:rsid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«Особенности выполнения штукатурных работ в различных климатических условиях»;</w:t>
      </w:r>
    </w:p>
    <w:p w:rsidR="00DD2A25" w:rsidRPr="00DD2A25" w:rsidRDefault="00DD2A25" w:rsidP="00036056">
      <w:pPr>
        <w:pStyle w:val="a3"/>
        <w:numPr>
          <w:ilvl w:val="0"/>
          <w:numId w:val="3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«Дефекты монолитной штукатурки. Способы их предупреждения и устранения»</w:t>
      </w:r>
      <w:r w:rsidR="000360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6056" w:rsidRPr="00A67175" w:rsidRDefault="000D7A98" w:rsidP="000D7A98">
      <w:pPr>
        <w:pStyle w:val="a3"/>
        <w:numPr>
          <w:ilvl w:val="0"/>
          <w:numId w:val="6"/>
        </w:numPr>
        <w:shd w:val="clear" w:color="auto" w:fill="FFFFFF"/>
        <w:spacing w:before="7" w:after="0"/>
        <w:ind w:left="0" w:right="7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bookmarkStart w:id="0" w:name="_GoBack"/>
      <w:bookmarkEnd w:id="0"/>
      <w:r w:rsidR="00036056" w:rsidRPr="00A67175">
        <w:rPr>
          <w:rFonts w:ascii="Times New Roman" w:eastAsia="Calibri" w:hAnsi="Times New Roman" w:cs="Times New Roman"/>
          <w:sz w:val="28"/>
          <w:szCs w:val="28"/>
        </w:rPr>
        <w:t xml:space="preserve">чебно-методические комплексы по учебному предмету </w:t>
      </w:r>
      <w:r w:rsidR="00674A5E" w:rsidRPr="00A67175">
        <w:rPr>
          <w:rFonts w:ascii="Times New Roman" w:eastAsia="Calibri" w:hAnsi="Times New Roman" w:cs="Times New Roman"/>
          <w:sz w:val="28"/>
          <w:szCs w:val="28"/>
        </w:rPr>
        <w:t>«Материаловедение»</w:t>
      </w:r>
      <w:r w:rsidR="00036056" w:rsidRPr="00A671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6056" w:rsidRDefault="00036056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«Основные свойства строительных материалов»;</w:t>
      </w:r>
    </w:p>
    <w:p w:rsidR="00036056" w:rsidRDefault="00036056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«Строительные растворы, сухие смеси и мастики»;</w:t>
      </w:r>
    </w:p>
    <w:p w:rsidR="00036056" w:rsidRDefault="00036056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«Композиций защитно-отделочные: грунтовки и шпатлевки»;</w:t>
      </w:r>
    </w:p>
    <w:p w:rsidR="00036056" w:rsidRDefault="00036056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«Минеральные вяжущие вещества и добавки к ним»;</w:t>
      </w:r>
    </w:p>
    <w:p w:rsidR="005A592C" w:rsidRDefault="005A592C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«Заполнители и наполнители для бетонов, смесей растворных и растворов строительных»;</w:t>
      </w:r>
    </w:p>
    <w:p w:rsidR="005A592C" w:rsidRDefault="005A592C" w:rsidP="00036056">
      <w:pPr>
        <w:pStyle w:val="a3"/>
        <w:numPr>
          <w:ilvl w:val="0"/>
          <w:numId w:val="4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«Обшивочные крупноразмерные листы»;</w:t>
      </w:r>
    </w:p>
    <w:p w:rsidR="00A67175" w:rsidRPr="00A67175" w:rsidRDefault="00A67175" w:rsidP="00A67175">
      <w:pPr>
        <w:pStyle w:val="a3"/>
        <w:numPr>
          <w:ilvl w:val="0"/>
          <w:numId w:val="6"/>
        </w:numPr>
        <w:shd w:val="clear" w:color="auto" w:fill="FFFFFF"/>
        <w:spacing w:before="7" w:after="0"/>
        <w:ind w:left="0"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175">
        <w:rPr>
          <w:rFonts w:ascii="Times New Roman" w:eastAsia="Calibri" w:hAnsi="Times New Roman" w:cs="Times New Roman"/>
          <w:sz w:val="28"/>
          <w:szCs w:val="28"/>
        </w:rPr>
        <w:t>У</w:t>
      </w:r>
      <w:r w:rsidR="00036056" w:rsidRPr="00A67175">
        <w:rPr>
          <w:rFonts w:ascii="Times New Roman" w:eastAsia="Calibri" w:hAnsi="Times New Roman" w:cs="Times New Roman"/>
          <w:sz w:val="28"/>
          <w:szCs w:val="28"/>
        </w:rPr>
        <w:t>чебно-методические комплексы по учебному предмету «Производственное обучение»</w:t>
      </w:r>
      <w:r w:rsidR="003E2160" w:rsidRPr="00A67175">
        <w:rPr>
          <w:rFonts w:ascii="Times New Roman" w:eastAsia="Calibri" w:hAnsi="Times New Roman" w:cs="Times New Roman"/>
          <w:sz w:val="28"/>
          <w:szCs w:val="28"/>
        </w:rPr>
        <w:t xml:space="preserve"> по темам</w:t>
      </w:r>
      <w:r w:rsidRPr="00A671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7175" w:rsidRDefault="003E2160" w:rsidP="00A67175">
      <w:pPr>
        <w:pStyle w:val="a3"/>
        <w:numPr>
          <w:ilvl w:val="0"/>
          <w:numId w:val="7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175">
        <w:rPr>
          <w:rFonts w:ascii="Times New Roman" w:eastAsia="Calibri" w:hAnsi="Times New Roman" w:cs="Times New Roman"/>
          <w:sz w:val="28"/>
          <w:szCs w:val="28"/>
        </w:rPr>
        <w:t xml:space="preserve">«Набрасывание раствора штукатурной лопаткой </w:t>
      </w:r>
      <w:r w:rsidR="00A67175">
        <w:rPr>
          <w:rFonts w:ascii="Times New Roman" w:eastAsia="Calibri" w:hAnsi="Times New Roman" w:cs="Times New Roman"/>
          <w:sz w:val="28"/>
          <w:szCs w:val="28"/>
        </w:rPr>
        <w:t>на поверхности стен и потолков»;</w:t>
      </w:r>
    </w:p>
    <w:p w:rsidR="00A67175" w:rsidRDefault="003E2160" w:rsidP="00A67175">
      <w:pPr>
        <w:pStyle w:val="a3"/>
        <w:numPr>
          <w:ilvl w:val="0"/>
          <w:numId w:val="7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175">
        <w:rPr>
          <w:rFonts w:ascii="Times New Roman" w:eastAsia="Calibri" w:hAnsi="Times New Roman" w:cs="Times New Roman"/>
          <w:sz w:val="28"/>
          <w:szCs w:val="28"/>
        </w:rPr>
        <w:t>«Оштукатуривание кирпичной поверхности»</w:t>
      </w:r>
      <w:r w:rsidR="00A671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7175" w:rsidRDefault="003E2160" w:rsidP="00A67175">
      <w:pPr>
        <w:pStyle w:val="a3"/>
        <w:numPr>
          <w:ilvl w:val="0"/>
          <w:numId w:val="7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175">
        <w:rPr>
          <w:rFonts w:ascii="Times New Roman" w:eastAsia="Calibri" w:hAnsi="Times New Roman" w:cs="Times New Roman"/>
          <w:sz w:val="28"/>
          <w:szCs w:val="28"/>
        </w:rPr>
        <w:t xml:space="preserve">«Нанесение </w:t>
      </w:r>
      <w:proofErr w:type="spellStart"/>
      <w:r w:rsidRPr="00A67175">
        <w:rPr>
          <w:rFonts w:ascii="Times New Roman" w:eastAsia="Calibri" w:hAnsi="Times New Roman" w:cs="Times New Roman"/>
          <w:sz w:val="28"/>
          <w:szCs w:val="28"/>
        </w:rPr>
        <w:t>накрывочн</w:t>
      </w:r>
      <w:r w:rsidR="00A6717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A67175">
        <w:rPr>
          <w:rFonts w:ascii="Times New Roman" w:eastAsia="Calibri" w:hAnsi="Times New Roman" w:cs="Times New Roman"/>
          <w:sz w:val="28"/>
          <w:szCs w:val="28"/>
        </w:rPr>
        <w:t xml:space="preserve"> слоя. Затирка поверхностей»;</w:t>
      </w:r>
    </w:p>
    <w:p w:rsidR="00036056" w:rsidRPr="00A67175" w:rsidRDefault="003E2160" w:rsidP="00A67175">
      <w:pPr>
        <w:pStyle w:val="a3"/>
        <w:numPr>
          <w:ilvl w:val="0"/>
          <w:numId w:val="7"/>
        </w:num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175">
        <w:rPr>
          <w:rFonts w:ascii="Times New Roman" w:eastAsia="Calibri" w:hAnsi="Times New Roman" w:cs="Times New Roman"/>
          <w:sz w:val="28"/>
          <w:szCs w:val="28"/>
        </w:rPr>
        <w:t xml:space="preserve">«Подготовка поверхностей 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spellStart"/>
      <w:r w:rsidR="00A67175">
        <w:rPr>
          <w:rFonts w:ascii="Times New Roman" w:eastAsia="Calibri" w:hAnsi="Times New Roman" w:cs="Times New Roman"/>
          <w:sz w:val="28"/>
          <w:szCs w:val="28"/>
        </w:rPr>
        <w:t>оштукатурирование</w:t>
      </w:r>
      <w:proofErr w:type="spellEnd"/>
      <w:r w:rsidR="00A67175">
        <w:rPr>
          <w:rFonts w:ascii="Times New Roman" w:eastAsia="Calibri" w:hAnsi="Times New Roman" w:cs="Times New Roman"/>
          <w:sz w:val="28"/>
          <w:szCs w:val="28"/>
        </w:rPr>
        <w:t>» и другие.</w:t>
      </w:r>
    </w:p>
    <w:p w:rsidR="005A592C" w:rsidRDefault="00A67175" w:rsidP="00036056">
      <w:pPr>
        <w:shd w:val="clear" w:color="auto" w:fill="FFFFFF"/>
        <w:spacing w:before="7" w:after="0"/>
        <w:ind w:left="567" w:right="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</w:t>
      </w:r>
      <w:r w:rsidR="005A592C">
        <w:rPr>
          <w:rFonts w:ascii="Times New Roman" w:eastAsia="Calibri" w:hAnsi="Times New Roman" w:cs="Times New Roman"/>
          <w:sz w:val="28"/>
          <w:szCs w:val="28"/>
        </w:rPr>
        <w:t>азработаны контрольные работы по учебным предметам «Материаловедение», «Специальная технология», «Охрана труда»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92C" w:rsidRDefault="00A67175" w:rsidP="00A67175">
      <w:pPr>
        <w:shd w:val="clear" w:color="auto" w:fill="FFFFFF"/>
        <w:spacing w:before="7" w:after="0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Составлены</w:t>
      </w:r>
      <w:r w:rsidR="005A592C">
        <w:rPr>
          <w:rFonts w:ascii="Times New Roman" w:eastAsia="Calibri" w:hAnsi="Times New Roman" w:cs="Times New Roman"/>
          <w:sz w:val="28"/>
          <w:szCs w:val="28"/>
        </w:rPr>
        <w:t xml:space="preserve"> поурочные тестовые задания по учебным предметам «Материаловед</w:t>
      </w:r>
      <w:r>
        <w:rPr>
          <w:rFonts w:ascii="Times New Roman" w:eastAsia="Calibri" w:hAnsi="Times New Roman" w:cs="Times New Roman"/>
          <w:sz w:val="28"/>
          <w:szCs w:val="28"/>
        </w:rPr>
        <w:t>ение», «Специальная технология»,</w:t>
      </w:r>
      <w:r w:rsidR="005A592C">
        <w:rPr>
          <w:rFonts w:ascii="Times New Roman" w:eastAsia="Calibri" w:hAnsi="Times New Roman" w:cs="Times New Roman"/>
          <w:sz w:val="28"/>
          <w:szCs w:val="28"/>
        </w:rPr>
        <w:t xml:space="preserve"> обобщающие тестовые задания по темам в соответствии с учебной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программой, </w:t>
      </w:r>
      <w:r w:rsidR="00105F49">
        <w:rPr>
          <w:rFonts w:ascii="Times New Roman" w:eastAsia="Calibri" w:hAnsi="Times New Roman" w:cs="Times New Roman"/>
          <w:sz w:val="28"/>
          <w:szCs w:val="28"/>
        </w:rPr>
        <w:t>методическая разработка по учебному предмету «Производственное обучение» (специальность «Отделочные строительные работы»)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5F49" w:rsidRDefault="00A67175" w:rsidP="00A67175">
      <w:pPr>
        <w:shd w:val="clear" w:color="auto" w:fill="FFFFFF"/>
        <w:spacing w:before="7" w:after="0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Разработаны </w:t>
      </w:r>
      <w:r w:rsidR="00105F49">
        <w:rPr>
          <w:rFonts w:ascii="Times New Roman" w:eastAsia="Calibri" w:hAnsi="Times New Roman" w:cs="Times New Roman"/>
          <w:sz w:val="28"/>
          <w:szCs w:val="28"/>
        </w:rPr>
        <w:t>инс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труктивно-технологические карты, </w:t>
      </w:r>
      <w:r w:rsidR="00105F49">
        <w:rPr>
          <w:rFonts w:ascii="Times New Roman" w:eastAsia="Calibri" w:hAnsi="Times New Roman" w:cs="Times New Roman"/>
          <w:sz w:val="28"/>
          <w:szCs w:val="28"/>
        </w:rPr>
        <w:t>сборник 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структивно-технологических карт, </w:t>
      </w:r>
      <w:r w:rsidR="00105F49">
        <w:rPr>
          <w:rFonts w:ascii="Times New Roman" w:eastAsia="Calibri" w:hAnsi="Times New Roman" w:cs="Times New Roman"/>
          <w:sz w:val="28"/>
          <w:szCs w:val="28"/>
        </w:rPr>
        <w:t>средства контроля знаний учащихся по учебному предм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ету «Производственное обучение», </w:t>
      </w:r>
      <w:r w:rsidR="00105F49">
        <w:rPr>
          <w:rFonts w:ascii="Times New Roman" w:eastAsia="Calibri" w:hAnsi="Times New Roman" w:cs="Times New Roman"/>
          <w:sz w:val="28"/>
          <w:szCs w:val="28"/>
        </w:rPr>
        <w:t>комплект инструкционных карт для групп учащихся с особенностями психофизического развития по учебному предмету «Производственное обучение»</w:t>
      </w:r>
      <w:r w:rsidR="00F76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160" w:rsidRPr="00E3579D" w:rsidRDefault="00F76030" w:rsidP="00F76030">
      <w:pPr>
        <w:shd w:val="clear" w:color="auto" w:fill="FFFFFF"/>
        <w:spacing w:before="7" w:after="0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E2160">
        <w:rPr>
          <w:rFonts w:ascii="Times New Roman" w:eastAsia="Calibri" w:hAnsi="Times New Roman" w:cs="Times New Roman"/>
          <w:sz w:val="28"/>
          <w:szCs w:val="28"/>
        </w:rPr>
        <w:t xml:space="preserve"> целью формирования устойчивой мотивации к формированию профессионально значимых качеств учащихся разработана система воспитательных мероприятий для учащихся, обучающихся по квалификации «Штукатур»</w:t>
      </w:r>
      <w:r w:rsidR="00A67175">
        <w:rPr>
          <w:rFonts w:ascii="Times New Roman" w:eastAsia="Calibri" w:hAnsi="Times New Roman" w:cs="Times New Roman"/>
          <w:sz w:val="28"/>
          <w:szCs w:val="28"/>
        </w:rPr>
        <w:t>,</w:t>
      </w:r>
      <w:r w:rsidR="00105F49">
        <w:rPr>
          <w:rFonts w:ascii="Times New Roman" w:eastAsia="Calibri" w:hAnsi="Times New Roman" w:cs="Times New Roman"/>
          <w:sz w:val="28"/>
          <w:szCs w:val="28"/>
        </w:rPr>
        <w:t xml:space="preserve"> «Хижины и дворцы», «Моя профессия», «Башни Кремля», </w:t>
      </w:r>
      <w:r w:rsidR="00A67175">
        <w:rPr>
          <w:rFonts w:ascii="Times New Roman" w:eastAsia="Calibri" w:hAnsi="Times New Roman" w:cs="Times New Roman"/>
          <w:sz w:val="28"/>
          <w:szCs w:val="28"/>
        </w:rPr>
        <w:t>«</w:t>
      </w:r>
      <w:r w:rsidR="00105F49">
        <w:rPr>
          <w:rFonts w:ascii="Times New Roman" w:eastAsia="Calibri" w:hAnsi="Times New Roman" w:cs="Times New Roman"/>
          <w:sz w:val="28"/>
          <w:szCs w:val="28"/>
        </w:rPr>
        <w:t>Замки Беларуси»</w:t>
      </w:r>
      <w:r w:rsidR="003E2160">
        <w:rPr>
          <w:rFonts w:ascii="Times New Roman" w:eastAsia="Calibri" w:hAnsi="Times New Roman" w:cs="Times New Roman"/>
          <w:sz w:val="28"/>
          <w:szCs w:val="28"/>
        </w:rPr>
        <w:t>, урок-игра «Моя профессия – штукатур!», содержащая материалы, направленные на формирование устойчивой потребности в углублении знаний по данной специальности.</w:t>
      </w:r>
    </w:p>
    <w:p w:rsidR="003D2D7B" w:rsidRDefault="003D2D7B" w:rsidP="00F76030">
      <w:pPr>
        <w:shd w:val="clear" w:color="auto" w:fill="FFFFFF"/>
        <w:spacing w:before="7" w:after="0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Разработанные в соответствии 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современным</w:t>
      </w:r>
      <w:r w:rsidR="00A671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требованиям</w:t>
      </w:r>
      <w:r w:rsidR="00A671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учебно-методические компоненты по квалификации «Штукатур», соотнесение средств в учебно-методических комплексах материалов с реальными потребностями рынка труда, требованиями</w:t>
      </w:r>
      <w:r w:rsidR="00A671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предъявляемыми заказчиками кадров в подготовке рабочих</w:t>
      </w:r>
      <w:r w:rsidR="00A671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позволило организовать на высоком уровне проведение факультативных занятий «Современные отделочные материалы и технологии».</w:t>
      </w:r>
    </w:p>
    <w:p w:rsidR="00674A5E" w:rsidRPr="00E3579D" w:rsidRDefault="00F76030" w:rsidP="00F76030">
      <w:pPr>
        <w:shd w:val="clear" w:color="auto" w:fill="FFFFFF"/>
        <w:spacing w:before="7" w:after="0"/>
        <w:ind w:right="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E2160">
        <w:rPr>
          <w:rFonts w:ascii="Times New Roman" w:eastAsia="Calibri" w:hAnsi="Times New Roman" w:cs="Times New Roman"/>
          <w:sz w:val="28"/>
          <w:szCs w:val="28"/>
        </w:rPr>
        <w:t>а заседаниях методической комиссии обобщен опыт преподавателей и мастеров производственного обучения по темам «Формирование профессиональной компетентности учащихся при проведении уроков производственного обучения по специальности «Отделочные строительные работы» (</w:t>
      </w:r>
      <w:proofErr w:type="spellStart"/>
      <w:r w:rsidR="003E2160">
        <w:rPr>
          <w:rFonts w:ascii="Times New Roman" w:eastAsia="Calibri" w:hAnsi="Times New Roman" w:cs="Times New Roman"/>
          <w:sz w:val="28"/>
          <w:szCs w:val="28"/>
        </w:rPr>
        <w:t>Ельницкая</w:t>
      </w:r>
      <w:proofErr w:type="spellEnd"/>
      <w:r w:rsidR="003E2160">
        <w:rPr>
          <w:rFonts w:ascii="Times New Roman" w:eastAsia="Calibri" w:hAnsi="Times New Roman" w:cs="Times New Roman"/>
          <w:sz w:val="28"/>
          <w:szCs w:val="28"/>
        </w:rPr>
        <w:t xml:space="preserve"> Т.М.)</w:t>
      </w:r>
      <w:r w:rsidR="00A67175">
        <w:rPr>
          <w:rFonts w:ascii="Times New Roman" w:eastAsia="Calibri" w:hAnsi="Times New Roman" w:cs="Times New Roman"/>
          <w:sz w:val="28"/>
          <w:szCs w:val="28"/>
        </w:rPr>
        <w:t>, «</w:t>
      </w:r>
      <w:r>
        <w:rPr>
          <w:rFonts w:ascii="Times New Roman" w:eastAsia="Calibri" w:hAnsi="Times New Roman" w:cs="Times New Roman"/>
          <w:sz w:val="28"/>
          <w:szCs w:val="28"/>
        </w:rPr>
        <w:t>Формы и методы контроля знаний и умений учащихся по учебному предмету «Специальная технология» (</w:t>
      </w:r>
      <w:proofErr w:type="spellStart"/>
      <w:r w:rsidR="003D2D7B">
        <w:rPr>
          <w:rFonts w:ascii="Times New Roman" w:eastAsia="Calibri" w:hAnsi="Times New Roman" w:cs="Times New Roman"/>
          <w:sz w:val="28"/>
          <w:szCs w:val="28"/>
        </w:rPr>
        <w:t>Кастюковец</w:t>
      </w:r>
      <w:proofErr w:type="spellEnd"/>
      <w:r w:rsidR="003D2D7B">
        <w:rPr>
          <w:rFonts w:ascii="Times New Roman" w:eastAsia="Calibri" w:hAnsi="Times New Roman" w:cs="Times New Roman"/>
          <w:sz w:val="28"/>
          <w:szCs w:val="28"/>
        </w:rPr>
        <w:t xml:space="preserve"> М.И.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D2D7B">
        <w:rPr>
          <w:rFonts w:ascii="Times New Roman" w:eastAsia="Calibri" w:hAnsi="Times New Roman" w:cs="Times New Roman"/>
          <w:sz w:val="28"/>
          <w:szCs w:val="28"/>
        </w:rPr>
        <w:t>, «Деятельность мастера производственного обучения по систематизации средств обучения в учебной лаборатории» (Гончарова Н.И.).</w:t>
      </w:r>
      <w:proofErr w:type="gramEnd"/>
    </w:p>
    <w:p w:rsidR="00877F27" w:rsidRPr="0025675A" w:rsidRDefault="00877F27" w:rsidP="00877F2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цель реализации программы деятельности ведущего учреждения – повышение уровня мотивации обучающихся к получению профессионально-технического образования через создание условий успешности в овладении профессиональными знаниями путем внедрения современных технологий.</w:t>
      </w:r>
    </w:p>
    <w:p w:rsidR="00877F27" w:rsidRDefault="00877F27" w:rsidP="00877F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внедрения в систему работы педагогов современных технологий подтверждается результатами диагностики уровня мотивации учащихся к получению образования, качества получаемых знаний. Исследование уровня мотивации к получению образования проводилось в учебных группах первого и второго курсов по специальност</w:t>
      </w:r>
      <w:r w:rsidR="00A671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«Отделочные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строительные работы. Производство строительно-монтажных и ремонтных работ» на протяжении пяти лет. </w:t>
      </w:r>
    </w:p>
    <w:p w:rsidR="00AD52EB" w:rsidRDefault="00AD52EB" w:rsidP="00AD5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C73584" wp14:editId="545CEFAE">
            <wp:extent cx="5219700" cy="21431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2017 год</w:t>
      </w:r>
    </w:p>
    <w:p w:rsidR="00AD52EB" w:rsidRDefault="00AD52EB" w:rsidP="00AD5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B8C026" wp14:editId="3AB0304C">
            <wp:extent cx="5200650" cy="2676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67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</w:t>
      </w:r>
    </w:p>
    <w:p w:rsidR="00AD52EB" w:rsidRDefault="00AD52EB" w:rsidP="00877F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</w:t>
      </w:r>
      <w:proofErr w:type="gramStart"/>
      <w:r>
        <w:rPr>
          <w:rFonts w:ascii="Times New Roman" w:hAnsi="Times New Roman"/>
          <w:sz w:val="28"/>
          <w:szCs w:val="28"/>
        </w:rPr>
        <w:t>реализации программы деятельности ведущего учреждения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системе профессионально-технического образования по направлению «Научно-методическое обеспечение профессионально-техническое образование по квалификации «Штукатур» подтверждается результатами диагностики уровня мотивации учащихся к получению образования, качества полученных знаний</w:t>
      </w:r>
      <w:r w:rsidR="003D57C1">
        <w:rPr>
          <w:rFonts w:ascii="Times New Roman" w:hAnsi="Times New Roman"/>
          <w:sz w:val="28"/>
          <w:szCs w:val="28"/>
        </w:rPr>
        <w:t xml:space="preserve">. </w:t>
      </w:r>
    </w:p>
    <w:p w:rsidR="003D57C1" w:rsidRDefault="003D57C1" w:rsidP="00877F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обученности учащихся определяется сопоставлением результатов качества знаний</w:t>
      </w:r>
      <w:r w:rsidR="003D2D7B">
        <w:rPr>
          <w:rFonts w:ascii="Times New Roman" w:hAnsi="Times New Roman"/>
          <w:sz w:val="28"/>
          <w:szCs w:val="28"/>
        </w:rPr>
        <w:t xml:space="preserve"> по учебным предметам профессионального компонента</w:t>
      </w:r>
      <w:r>
        <w:rPr>
          <w:rFonts w:ascii="Times New Roman" w:hAnsi="Times New Roman"/>
          <w:sz w:val="28"/>
          <w:szCs w:val="28"/>
        </w:rPr>
        <w:t xml:space="preserve"> за период реализации программы ведущего учреждения в образовательном процессе.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7C1" w:rsidTr="003D57C1">
        <w:tc>
          <w:tcPr>
            <w:tcW w:w="4785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786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</w:t>
            </w:r>
          </w:p>
        </w:tc>
      </w:tr>
      <w:tr w:rsidR="003D57C1" w:rsidTr="003D57C1">
        <w:tc>
          <w:tcPr>
            <w:tcW w:w="4785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2017/2018</w:t>
            </w:r>
          </w:p>
        </w:tc>
        <w:tc>
          <w:tcPr>
            <w:tcW w:w="4786" w:type="dxa"/>
          </w:tcPr>
          <w:p w:rsidR="003D57C1" w:rsidRDefault="003D2D7B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3D57C1" w:rsidTr="003D57C1">
        <w:tc>
          <w:tcPr>
            <w:tcW w:w="4785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2018/2019</w:t>
            </w:r>
          </w:p>
        </w:tc>
        <w:tc>
          <w:tcPr>
            <w:tcW w:w="4786" w:type="dxa"/>
          </w:tcPr>
          <w:p w:rsidR="003D57C1" w:rsidRDefault="003D2D7B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3D57C1" w:rsidTr="003D57C1">
        <w:tc>
          <w:tcPr>
            <w:tcW w:w="4785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2019/2020</w:t>
            </w:r>
          </w:p>
        </w:tc>
        <w:tc>
          <w:tcPr>
            <w:tcW w:w="4786" w:type="dxa"/>
          </w:tcPr>
          <w:p w:rsidR="003D57C1" w:rsidRDefault="003D2D7B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3D57C1" w:rsidTr="003D57C1">
        <w:tc>
          <w:tcPr>
            <w:tcW w:w="4785" w:type="dxa"/>
          </w:tcPr>
          <w:p w:rsidR="003D57C1" w:rsidRDefault="003D57C1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2020/2021</w:t>
            </w:r>
          </w:p>
        </w:tc>
        <w:tc>
          <w:tcPr>
            <w:tcW w:w="4786" w:type="dxa"/>
          </w:tcPr>
          <w:p w:rsidR="003D57C1" w:rsidRDefault="003D2D7B" w:rsidP="00877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</w:tbl>
    <w:p w:rsidR="003D57C1" w:rsidRDefault="003D57C1" w:rsidP="00877F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Следует отметить, что в сравнении с данными за 2017/2018 учебный год в 2020/2021 учебном году по данной специальности </w:t>
      </w:r>
      <w:r w:rsidR="00A67175"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рост успеваемости учащихся.</w:t>
      </w:r>
    </w:p>
    <w:p w:rsidR="003D2D7B" w:rsidRDefault="003D2D7B" w:rsidP="003D2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создания условий для практической реализации знаний, умений и навыков учащихся по квалификации «Штукатур» проводился конкурс профессионального мастерства.</w:t>
      </w:r>
    </w:p>
    <w:p w:rsidR="00877F27" w:rsidRDefault="003D57C1" w:rsidP="003D57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деятельности ведущего учреждения образования позволил</w:t>
      </w:r>
      <w:r w:rsidR="00A671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создать условия для профессионально-компетентного роста педагогов, повысить уровень мотивации учащи</w:t>
      </w:r>
      <w:r w:rsidR="004D4583">
        <w:rPr>
          <w:rFonts w:ascii="Times New Roman" w:hAnsi="Times New Roman"/>
          <w:sz w:val="28"/>
          <w:szCs w:val="28"/>
        </w:rPr>
        <w:t>хся к образовательному процессу, пополнить банк данных методической литературы по организации деятельности, связанной с разработкой научно-методического обеспечения профессионально-технического образования.</w:t>
      </w:r>
      <w:r w:rsidR="00877F27">
        <w:rPr>
          <w:rFonts w:ascii="Times New Roman" w:hAnsi="Times New Roman"/>
          <w:sz w:val="28"/>
          <w:szCs w:val="28"/>
        </w:rPr>
        <w:t xml:space="preserve"> </w:t>
      </w:r>
    </w:p>
    <w:p w:rsidR="008C4FB0" w:rsidRPr="00E3579D" w:rsidRDefault="008C4FB0" w:rsidP="009862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583">
        <w:rPr>
          <w:rFonts w:ascii="Times New Roman" w:eastAsia="Calibri" w:hAnsi="Times New Roman" w:cs="Times New Roman"/>
          <w:sz w:val="28"/>
          <w:szCs w:val="28"/>
        </w:rPr>
        <w:t>Библиотека учреждения образования укомплектована современной учебно-справочной и методической литературо</w:t>
      </w:r>
      <w:r w:rsidR="004D4583">
        <w:rPr>
          <w:rFonts w:ascii="Times New Roman" w:eastAsia="Calibri" w:hAnsi="Times New Roman" w:cs="Times New Roman"/>
          <w:sz w:val="28"/>
          <w:szCs w:val="28"/>
        </w:rPr>
        <w:t>й</w:t>
      </w:r>
      <w:r w:rsidRPr="004D4583">
        <w:rPr>
          <w:rFonts w:ascii="Times New Roman" w:eastAsia="Calibri" w:hAnsi="Times New Roman" w:cs="Times New Roman"/>
          <w:sz w:val="28"/>
          <w:szCs w:val="28"/>
        </w:rPr>
        <w:t>, рассчитанно</w:t>
      </w:r>
      <w:r w:rsidR="004D4583">
        <w:rPr>
          <w:rFonts w:ascii="Times New Roman" w:eastAsia="Calibri" w:hAnsi="Times New Roman" w:cs="Times New Roman"/>
          <w:sz w:val="28"/>
          <w:szCs w:val="28"/>
        </w:rPr>
        <w:t>й</w:t>
      </w:r>
      <w:r w:rsidRPr="004D4583">
        <w:rPr>
          <w:rFonts w:ascii="Times New Roman" w:eastAsia="Calibri" w:hAnsi="Times New Roman" w:cs="Times New Roman"/>
          <w:sz w:val="28"/>
          <w:szCs w:val="28"/>
        </w:rPr>
        <w:t xml:space="preserve"> на каждого учащегося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D4583">
        <w:rPr>
          <w:rFonts w:ascii="Times New Roman" w:eastAsia="Calibri" w:hAnsi="Times New Roman" w:cs="Times New Roman"/>
          <w:sz w:val="28"/>
          <w:szCs w:val="28"/>
        </w:rPr>
        <w:t>риложение)</w:t>
      </w:r>
      <w:r w:rsidRPr="004D45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268" w:rsidRDefault="004B17B0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по теме </w:t>
      </w:r>
      <w:r w:rsidR="00A67175">
        <w:rPr>
          <w:rFonts w:ascii="Times New Roman" w:hAnsi="Times New Roman"/>
          <w:sz w:val="28"/>
          <w:szCs w:val="28"/>
        </w:rPr>
        <w:t>ведущего учреждения образования в системе профессионально-технического образования по направлению «Научно-методическое обеспечение профессионально-техническое образование по квалификации «Штукатур»</w:t>
      </w:r>
      <w:r>
        <w:rPr>
          <w:rFonts w:ascii="Times New Roman" w:hAnsi="Times New Roman" w:cs="Times New Roman"/>
          <w:sz w:val="28"/>
          <w:szCs w:val="28"/>
        </w:rPr>
        <w:t xml:space="preserve"> заслушаны и обсуждены на заседании педагогического совета учреждения образования </w:t>
      </w:r>
      <w:r w:rsidR="004D4583">
        <w:rPr>
          <w:rFonts w:ascii="Times New Roman" w:hAnsi="Times New Roman" w:cs="Times New Roman"/>
          <w:sz w:val="28"/>
          <w:szCs w:val="28"/>
        </w:rPr>
        <w:t>(протокол №23 от 24.05.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4D4583">
        <w:rPr>
          <w:rFonts w:ascii="Times New Roman" w:hAnsi="Times New Roman" w:cs="Times New Roman"/>
          <w:sz w:val="28"/>
          <w:szCs w:val="28"/>
        </w:rPr>
        <w:t>), на котором принято решение разработать рекомендации по использованию учебно-программной документации и дидактических материалов в образовательном процессе.</w:t>
      </w:r>
    </w:p>
    <w:p w:rsidR="004B17B0" w:rsidRDefault="004B17B0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7B0" w:rsidRDefault="004B17B0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В.Г.Серпинский</w:t>
      </w:r>
      <w:proofErr w:type="spellEnd"/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986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83" w:rsidRDefault="004D4583" w:rsidP="004D45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4583" w:rsidRDefault="004D4583" w:rsidP="004D458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 по организации деятельности, связанной с разработкой научно-методического обеспечения профессионально-технического образования</w:t>
      </w:r>
    </w:p>
    <w:p w:rsidR="00986268" w:rsidRDefault="00986268" w:rsidP="00986268"/>
    <w:p w:rsidR="004004C7" w:rsidRPr="003E33DC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Аниськов, А.М.</w:t>
      </w:r>
      <w:r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и содержание работы ведущего учреждения профессионально-технического образования 2-е изд., </w:t>
      </w:r>
      <w:proofErr w:type="spellStart"/>
      <w:r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РИПО, 2013</w:t>
      </w:r>
    </w:p>
    <w:p w:rsidR="004D4583" w:rsidRPr="003E33DC" w:rsidRDefault="00897483" w:rsidP="003E33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Бобрович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Т.А.</w:t>
      </w:r>
      <w:r w:rsidR="0073535C"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преподавания общепрофессиональных и специальных дисциплин (предметов)</w:t>
      </w:r>
      <w:r w:rsidR="00D430A2"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35C"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>3-е изд., стер</w:t>
      </w:r>
      <w:proofErr w:type="gramStart"/>
      <w:r w:rsidR="0073535C"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="0073535C" w:rsidRPr="003E33DC">
        <w:rPr>
          <w:rFonts w:ascii="Times New Roman" w:hAnsi="Times New Roman" w:cs="Times New Roman"/>
          <w:sz w:val="28"/>
          <w:szCs w:val="28"/>
          <w:shd w:val="clear" w:color="auto" w:fill="FFFFFF"/>
        </w:rPr>
        <w:t>РИПО, 2020</w:t>
      </w:r>
    </w:p>
    <w:p w:rsidR="004004C7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 Строительные материалы и изделия: Учебное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Мн.: Дизайн ПРО, 2004. – 312 с.</w:t>
      </w:r>
    </w:p>
    <w:p w:rsidR="004004C7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Т.И. Штукатурные работы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И. Семененко. – 2-е изд.,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РИПО, 2012 – 255 с.</w:t>
      </w:r>
    </w:p>
    <w:p w:rsidR="004004C7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И. Технология облицовочных работ: Учебное пособие для ПТУ. – Мн.: Дизайн ПРО, 2004. – 272 с.</w:t>
      </w:r>
    </w:p>
    <w:p w:rsidR="004004C7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И. Технология укладки напольных покрытий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РИПО, 2018. – 437 с.</w:t>
      </w:r>
    </w:p>
    <w:p w:rsidR="003E33DC" w:rsidRDefault="00897483" w:rsidP="003E33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Лёвочкина, Г.А.</w:t>
      </w:r>
      <w:r w:rsidR="003E33DC">
        <w:rPr>
          <w:rFonts w:ascii="Times New Roman" w:hAnsi="Times New Roman" w:cs="Times New Roman"/>
          <w:sz w:val="28"/>
          <w:szCs w:val="28"/>
        </w:rPr>
        <w:t xml:space="preserve"> Технология выполнения каменных работ : учеб</w:t>
      </w:r>
      <w:proofErr w:type="gramStart"/>
      <w:r w:rsidR="003E3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3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3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33DC">
        <w:rPr>
          <w:rFonts w:ascii="Times New Roman" w:hAnsi="Times New Roman" w:cs="Times New Roman"/>
          <w:sz w:val="28"/>
          <w:szCs w:val="28"/>
        </w:rPr>
        <w:t>особие / Г. А. Лёвочкина. – Минск</w:t>
      </w:r>
      <w:proofErr w:type="gramStart"/>
      <w:r w:rsidR="003E33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33DC">
        <w:rPr>
          <w:rFonts w:ascii="Times New Roman" w:hAnsi="Times New Roman" w:cs="Times New Roman"/>
          <w:sz w:val="28"/>
          <w:szCs w:val="28"/>
        </w:rPr>
        <w:t xml:space="preserve"> РИПО, 2017. – 267, </w:t>
      </w:r>
      <w:r>
        <w:rPr>
          <w:rFonts w:ascii="Times New Roman" w:hAnsi="Times New Roman" w:cs="Times New Roman"/>
          <w:sz w:val="28"/>
          <w:szCs w:val="28"/>
        </w:rPr>
        <w:t>[16] с.</w:t>
      </w:r>
    </w:p>
    <w:p w:rsidR="004004C7" w:rsidRDefault="004004C7" w:rsidP="004004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М. Материаловедение в строительстве: пособие /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Беларусь, 2014. – 295 с.</w:t>
      </w:r>
    </w:p>
    <w:p w:rsidR="00897483" w:rsidRDefault="00897483" w:rsidP="003E33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М.П. Технология строительного производства. Практикум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РИПО, 2012. – 246 с.</w:t>
      </w:r>
    </w:p>
    <w:p w:rsidR="00897483" w:rsidRDefault="00897483" w:rsidP="003E33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Стаценко, А. С. Монтаж стальных и железобетонных конструкций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/ А. С. Стаценко.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РИПО, 2016. – 467 с.</w:t>
      </w:r>
    </w:p>
    <w:p w:rsidR="00980331" w:rsidRDefault="00980331" w:rsidP="009803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Стаценко, А. С. Технология каменных работ в строительстве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А. С. Стаценко.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2010. – 255 с.</w:t>
      </w:r>
    </w:p>
    <w:p w:rsidR="00980331" w:rsidRPr="003E33DC" w:rsidRDefault="00980331" w:rsidP="009803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Сушко, Л. Н. Штукатурные работы. Производственное обучение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 пособие / Л. Н. Сушко.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РИПО, 2018. 78 с.</w:t>
      </w:r>
    </w:p>
    <w:p w:rsidR="00980331" w:rsidRDefault="00980331" w:rsidP="009803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Е. Черчение (Отделочные строительные работы). Практикум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РИПО, 2015. – 104 с.</w:t>
      </w:r>
    </w:p>
    <w:p w:rsidR="00897483" w:rsidRDefault="00897483" w:rsidP="003E33D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Штукатурные и лепные работы / сост.: В. А. Барановский, Е. А. Банников.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Современная школа, 2009. – 416 с.</w:t>
      </w:r>
    </w:p>
    <w:p w:rsidR="00980331" w:rsidRPr="00980331" w:rsidRDefault="00980331" w:rsidP="009803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0331" w:rsidRPr="0098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185"/>
    <w:multiLevelType w:val="hybridMultilevel"/>
    <w:tmpl w:val="576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AA5"/>
    <w:multiLevelType w:val="hybridMultilevel"/>
    <w:tmpl w:val="60AC2E12"/>
    <w:lvl w:ilvl="0" w:tplc="8DF2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D4EB1"/>
    <w:multiLevelType w:val="hybridMultilevel"/>
    <w:tmpl w:val="695C7244"/>
    <w:lvl w:ilvl="0" w:tplc="00680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2E0C"/>
    <w:multiLevelType w:val="hybridMultilevel"/>
    <w:tmpl w:val="BE707E56"/>
    <w:lvl w:ilvl="0" w:tplc="475850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F7779"/>
    <w:multiLevelType w:val="hybridMultilevel"/>
    <w:tmpl w:val="37DA0B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75E177F5"/>
    <w:multiLevelType w:val="hybridMultilevel"/>
    <w:tmpl w:val="6A5EF9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5EF1149"/>
    <w:multiLevelType w:val="hybridMultilevel"/>
    <w:tmpl w:val="C66C92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DD"/>
    <w:rsid w:val="00036056"/>
    <w:rsid w:val="000D7A98"/>
    <w:rsid w:val="00105F49"/>
    <w:rsid w:val="001F40A4"/>
    <w:rsid w:val="002822C8"/>
    <w:rsid w:val="003540EC"/>
    <w:rsid w:val="003D2D7B"/>
    <w:rsid w:val="003D57C1"/>
    <w:rsid w:val="003E2160"/>
    <w:rsid w:val="003E33DC"/>
    <w:rsid w:val="004004C7"/>
    <w:rsid w:val="00463977"/>
    <w:rsid w:val="004B17B0"/>
    <w:rsid w:val="004D4583"/>
    <w:rsid w:val="00557553"/>
    <w:rsid w:val="005848F5"/>
    <w:rsid w:val="005A592C"/>
    <w:rsid w:val="00640005"/>
    <w:rsid w:val="00663E87"/>
    <w:rsid w:val="00674A5E"/>
    <w:rsid w:val="006B18EF"/>
    <w:rsid w:val="0073535C"/>
    <w:rsid w:val="00877F27"/>
    <w:rsid w:val="00897483"/>
    <w:rsid w:val="008C4FB0"/>
    <w:rsid w:val="00980331"/>
    <w:rsid w:val="00986268"/>
    <w:rsid w:val="00A67175"/>
    <w:rsid w:val="00A90DDD"/>
    <w:rsid w:val="00AD52EB"/>
    <w:rsid w:val="00B53450"/>
    <w:rsid w:val="00B86C40"/>
    <w:rsid w:val="00D430A2"/>
    <w:rsid w:val="00DD2A25"/>
    <w:rsid w:val="00E078F4"/>
    <w:rsid w:val="00E63EDE"/>
    <w:rsid w:val="00F44F7A"/>
    <w:rsid w:val="00F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87"/>
    <w:pPr>
      <w:ind w:left="720"/>
      <w:contextualSpacing/>
    </w:pPr>
  </w:style>
  <w:style w:type="character" w:customStyle="1" w:styleId="a4">
    <w:name w:val="Колонтитул_"/>
    <w:link w:val="a5"/>
    <w:rsid w:val="00986268"/>
    <w:rPr>
      <w:rFonts w:ascii="Times New Roman" w:eastAsia="Times New Roman" w:hAnsi="Times New Roman"/>
      <w:b/>
      <w:bCs/>
      <w:spacing w:val="-6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9862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6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5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4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87"/>
    <w:pPr>
      <w:ind w:left="720"/>
      <w:contextualSpacing/>
    </w:pPr>
  </w:style>
  <w:style w:type="character" w:customStyle="1" w:styleId="a4">
    <w:name w:val="Колонтитул_"/>
    <w:link w:val="a5"/>
    <w:rsid w:val="00986268"/>
    <w:rPr>
      <w:rFonts w:ascii="Times New Roman" w:eastAsia="Times New Roman" w:hAnsi="Times New Roman"/>
      <w:b/>
      <w:bCs/>
      <w:spacing w:val="-6"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rsid w:val="009862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6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5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4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200"/>
              <a:t>  Мотивационная готовность педагогов к участию в реализации деятельности ведущего учреждения  </a:t>
            </a:r>
          </a:p>
        </c:rich>
      </c:tx>
      <c:layout/>
      <c:overlay val="0"/>
    </c:title>
    <c:autoTitleDeleted val="0"/>
    <c:view3D>
      <c:rotX val="50"/>
      <c:rotY val="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66343269591301"/>
          <c:w val="1"/>
          <c:h val="0.388910605765237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Отношение к инновационной деятельности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26-4CE1-86AF-87347B5E616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26-4CE1-86AF-87347B5E616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26-4CE1-86AF-87347B5E616D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26-4CE1-86AF-87347B5E61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Выполнение профессионального долга</c:v>
                </c:pt>
                <c:pt idx="1">
                  <c:v> Метод саморазвития, творческого поиска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0.57999999999999996</c:v>
                </c:pt>
                <c:pt idx="3" formatCode="Основной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94-4FC0-A906-80E50DA3DD6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4382913480859822"/>
          <c:y val="0.77039912529771237"/>
          <c:w val="0.62882267784114487"/>
          <c:h val="0.22754498529449158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200" b="1">
                <a:solidFill>
                  <a:sysClr val="windowText" lastClr="000000"/>
                </a:solidFill>
              </a:rPr>
              <a:t>Количество педагогов привлеченных</a:t>
            </a:r>
            <a:r>
              <a:rPr lang="ru-RU" sz="1200" b="1" baseline="0">
                <a:solidFill>
                  <a:sysClr val="windowText" lastClr="000000"/>
                </a:solidFill>
              </a:rPr>
              <a:t> к реализации программы ведущего учреждения</a:t>
            </a:r>
            <a:r>
              <a:rPr lang="ru-RU" sz="1200" b="1">
                <a:solidFill>
                  <a:sysClr val="windowText" lastClr="000000"/>
                </a:solidFill>
              </a:rPr>
              <a:t>, получивших сертификат "Пользователь информационных технологий в системе образования"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педагогов, получивших сертификат "Пользователь информационных технологий в системе образования"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BB-49B1-80FE-3429FBE260A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BB-49B1-80FE-3429FBE260A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ABB-49B1-80FE-3429FBE260A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ABB-49B1-80FE-3429FBE260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Получили сертификат</c:v>
                </c:pt>
                <c:pt idx="1">
                  <c:v>Не имеют сертификата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0.25</c:v>
                </c:pt>
                <c:pt idx="2" formatCode="Основной">
                  <c:v>0</c:v>
                </c:pt>
                <c:pt idx="3" formatCode="Основной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C3-4E38-9489-C9EC5539837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Категорийный уровень преподавателей, мастеров производственного обучения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2017 год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без квалификационной категории</c:v>
                </c:pt>
                <c:pt idx="1">
                  <c:v>вторая квалификационная категория</c:v>
                </c:pt>
                <c:pt idx="2">
                  <c:v>первая квалификационная категория</c:v>
                </c:pt>
              </c:strCache>
            </c:strRef>
          </c:cat>
          <c:val>
            <c:numRef>
              <c:f>Лист1!$B$2:$B$4</c:f>
              <c:numCache>
                <c:formatCode>Основной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Категорийный уровень преподавателей, мастеров производственного обучения  2021 год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без квалификационной категории</c:v>
                </c:pt>
                <c:pt idx="1">
                  <c:v>вторая квалификационная категория</c:v>
                </c:pt>
                <c:pt idx="2">
                  <c:v>первая квалификационная категория</c:v>
                </c:pt>
              </c:strCache>
            </c:strRef>
          </c:cat>
          <c:val>
            <c:numRef>
              <c:f>Лист1!$B$2:$B$4</c:f>
              <c:numCache>
                <c:formatCode>Основной</c:formatCode>
                <c:ptCount val="3"/>
                <c:pt idx="0">
                  <c:v>1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240681576144841"/>
          <c:y val="0.29554852734820886"/>
          <c:w val="0.34666666666666668"/>
          <c:h val="0.471139648316492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D7-4989-8323-12B0D68A43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Отделочные строительные работы. Производство строительно-монтажных и ремонтных работ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0,00%</c:formatCode>
                <c:ptCount val="4"/>
                <c:pt idx="0">
                  <c:v>0.26700000000000002</c:v>
                </c:pt>
                <c:pt idx="1">
                  <c:v>0.53300000000000003</c:v>
                </c:pt>
                <c:pt idx="2" formatCode="0%">
                  <c:v>0.2</c:v>
                </c:pt>
                <c:pt idx="3" formatCode="Основной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D7-4989-8323-12B0D68A43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D7-4989-8323-12B0D68A4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78080"/>
        <c:axId val="92214016"/>
      </c:barChart>
      <c:catAx>
        <c:axId val="76078080"/>
        <c:scaling>
          <c:orientation val="minMax"/>
        </c:scaling>
        <c:delete val="0"/>
        <c:axPos val="b"/>
        <c:numFmt formatCode="Основной" sourceLinked="0"/>
        <c:majorTickMark val="out"/>
        <c:minorTickMark val="none"/>
        <c:tickLblPos val="nextTo"/>
        <c:crossAx val="92214016"/>
        <c:crosses val="autoZero"/>
        <c:auto val="1"/>
        <c:lblAlgn val="ctr"/>
        <c:lblOffset val="100"/>
        <c:noMultiLvlLbl val="0"/>
      </c:catAx>
      <c:valAx>
        <c:axId val="9221401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7607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22-4568-B16E-011BE360E5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Отделочные строительные работы. Производство строительно-монтажных и ремонтных работ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0,00%</c:formatCode>
                <c:ptCount val="4"/>
                <c:pt idx="0">
                  <c:v>0.16</c:v>
                </c:pt>
                <c:pt idx="1">
                  <c:v>0.62</c:v>
                </c:pt>
                <c:pt idx="2" formatCode="0%">
                  <c:v>0.22</c:v>
                </c:pt>
                <c:pt idx="3" formatCode="Основной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22-4568-B16E-011BE360E5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Низкий уровень мотивации</c:v>
                </c:pt>
                <c:pt idx="1">
                  <c:v>Средний уровень мотивации</c:v>
                </c:pt>
                <c:pt idx="2">
                  <c:v>Высокий уровень мотивации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22-4568-B16E-011BE360E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73280"/>
        <c:axId val="92406144"/>
      </c:barChart>
      <c:catAx>
        <c:axId val="92273280"/>
        <c:scaling>
          <c:orientation val="minMax"/>
        </c:scaling>
        <c:delete val="0"/>
        <c:axPos val="b"/>
        <c:numFmt formatCode="Основной" sourceLinked="0"/>
        <c:majorTickMark val="out"/>
        <c:minorTickMark val="none"/>
        <c:tickLblPos val="nextTo"/>
        <c:crossAx val="92406144"/>
        <c:crosses val="autoZero"/>
        <c:auto val="1"/>
        <c:lblAlgn val="ctr"/>
        <c:lblOffset val="100"/>
        <c:noMultiLvlLbl val="0"/>
      </c:catAx>
      <c:valAx>
        <c:axId val="92406144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92273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4</cp:revision>
  <cp:lastPrinted>2021-06-08T14:25:00Z</cp:lastPrinted>
  <dcterms:created xsi:type="dcterms:W3CDTF">2021-06-08T14:27:00Z</dcterms:created>
  <dcterms:modified xsi:type="dcterms:W3CDTF">2021-08-19T07:45:00Z</dcterms:modified>
</cp:coreProperties>
</file>